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B2" w:rsidRDefault="00D65EB2" w:rsidP="00D65EB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Corrigé type </w:t>
      </w:r>
      <w:r w:rsidRPr="009B3AD1">
        <w:rPr>
          <w:rFonts w:asciiTheme="majorBidi" w:hAnsiTheme="majorBidi" w:cstheme="majorBidi"/>
          <w:b/>
          <w:bCs/>
          <w:sz w:val="24"/>
          <w:szCs w:val="24"/>
        </w:rPr>
        <w:t>de synthèse écologique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65EB2" w:rsidRDefault="00D65EB2" w:rsidP="00D65EB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(M1 biodiversité et écologie végétale)</w:t>
      </w:r>
    </w:p>
    <w:p w:rsidR="00D65EB2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 w:rsidRPr="00D05AEE">
        <w:rPr>
          <w:rFonts w:asciiTheme="majorBidi" w:hAnsiTheme="majorBidi" w:cstheme="majorBidi"/>
          <w:b/>
          <w:bCs/>
          <w:sz w:val="24"/>
          <w:szCs w:val="24"/>
        </w:rPr>
        <w:t>1) les types biologiques de la classification de RAUNKIAER</w:t>
      </w:r>
      <w:r>
        <w:rPr>
          <w:rFonts w:asciiTheme="majorBidi" w:hAnsiTheme="majorBidi" w:cstheme="majorBidi"/>
          <w:sz w:val="24"/>
          <w:szCs w:val="24"/>
        </w:rPr>
        <w:t> </w:t>
      </w:r>
      <w:r w:rsidRPr="00882B0F">
        <w:rPr>
          <w:rFonts w:asciiTheme="majorBidi" w:hAnsiTheme="majorBidi" w:cstheme="majorBidi"/>
          <w:b/>
          <w:bCs/>
          <w:sz w:val="24"/>
          <w:szCs w:val="24"/>
        </w:rPr>
        <w:t>(5 points)</w:t>
      </w:r>
    </w:p>
    <w:p w:rsidR="00D65EB2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*- </w:t>
      </w:r>
      <w:r w:rsidRPr="009B0A65">
        <w:rPr>
          <w:rFonts w:asciiTheme="majorBidi" w:hAnsiTheme="majorBidi" w:cstheme="majorBidi"/>
          <w:i/>
          <w:iCs/>
          <w:sz w:val="24"/>
          <w:szCs w:val="24"/>
        </w:rPr>
        <w:t>Phanérophytes</w:t>
      </w:r>
      <w:r>
        <w:rPr>
          <w:rFonts w:asciiTheme="majorBidi" w:hAnsiTheme="majorBidi" w:cstheme="majorBidi"/>
          <w:sz w:val="24"/>
          <w:szCs w:val="24"/>
        </w:rPr>
        <w:t> : sont des végétaux ligneux dont le bourgeon de renouvellement se situe à lus de 50 cm du sol.</w:t>
      </w:r>
    </w:p>
    <w:p w:rsidR="00D65EB2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*- </w:t>
      </w:r>
      <w:r w:rsidRPr="009B0A65">
        <w:rPr>
          <w:rFonts w:asciiTheme="majorBidi" w:hAnsiTheme="majorBidi" w:cstheme="majorBidi"/>
          <w:i/>
          <w:iCs/>
          <w:sz w:val="24"/>
          <w:szCs w:val="24"/>
        </w:rPr>
        <w:t>Chaméphytes</w:t>
      </w:r>
      <w:r>
        <w:rPr>
          <w:rFonts w:asciiTheme="majorBidi" w:hAnsiTheme="majorBidi" w:cstheme="majorBidi"/>
          <w:sz w:val="24"/>
          <w:szCs w:val="24"/>
        </w:rPr>
        <w:t> :  sont des plantes terrestres ligneuses ou herbacées dont le bourgeon de renouvellement ne dépasse pas 25 cm du sol.</w:t>
      </w:r>
    </w:p>
    <w:p w:rsidR="00D65EB2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*- </w:t>
      </w:r>
      <w:r w:rsidRPr="00882B0F">
        <w:rPr>
          <w:rFonts w:asciiTheme="majorBidi" w:hAnsiTheme="majorBidi" w:cstheme="majorBidi"/>
          <w:i/>
          <w:iCs/>
          <w:sz w:val="24"/>
          <w:szCs w:val="24"/>
        </w:rPr>
        <w:t>Hémicryptophytes</w:t>
      </w:r>
      <w:r>
        <w:rPr>
          <w:rFonts w:asciiTheme="majorBidi" w:hAnsiTheme="majorBidi" w:cstheme="majorBidi"/>
          <w:sz w:val="24"/>
          <w:szCs w:val="24"/>
        </w:rPr>
        <w:t> :  sont des espèces à bourgeons persistants situes au ras du sol.</w:t>
      </w:r>
    </w:p>
    <w:p w:rsidR="00D65EB2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*- </w:t>
      </w:r>
      <w:r w:rsidRPr="00882B0F">
        <w:rPr>
          <w:rFonts w:asciiTheme="majorBidi" w:hAnsiTheme="majorBidi" w:cstheme="majorBidi"/>
          <w:i/>
          <w:iCs/>
          <w:sz w:val="24"/>
          <w:szCs w:val="24"/>
        </w:rPr>
        <w:t>Cryptophytes</w:t>
      </w:r>
      <w:r>
        <w:rPr>
          <w:rFonts w:asciiTheme="majorBidi" w:hAnsiTheme="majorBidi" w:cstheme="majorBidi"/>
          <w:sz w:val="24"/>
          <w:szCs w:val="24"/>
        </w:rPr>
        <w:t xml:space="preserve"> :  sont des espèces herbacées à bourgeons </w:t>
      </w:r>
      <w:r w:rsidRPr="00882B0F">
        <w:rPr>
          <w:rFonts w:asciiTheme="majorBidi" w:hAnsiTheme="majorBidi" w:cstheme="majorBidi"/>
          <w:sz w:val="24"/>
          <w:szCs w:val="24"/>
        </w:rPr>
        <w:t>persistants qui ne subsistent</w:t>
      </w:r>
      <w:r>
        <w:rPr>
          <w:rFonts w:asciiTheme="majorBidi" w:hAnsiTheme="majorBidi" w:cstheme="majorBidi"/>
          <w:sz w:val="24"/>
          <w:szCs w:val="24"/>
        </w:rPr>
        <w:t xml:space="preserve"> que par des parties souterraines.</w:t>
      </w:r>
    </w:p>
    <w:p w:rsidR="00D65EB2" w:rsidRDefault="00D65EB2" w:rsidP="00D65EB2">
      <w:pPr>
        <w:jc w:val="both"/>
      </w:pPr>
      <w:r>
        <w:rPr>
          <w:rFonts w:asciiTheme="majorBidi" w:hAnsiTheme="majorBidi" w:cstheme="majorBidi"/>
          <w:sz w:val="24"/>
          <w:szCs w:val="24"/>
        </w:rPr>
        <w:t xml:space="preserve">*- </w:t>
      </w:r>
      <w:r w:rsidRPr="00882B0F">
        <w:rPr>
          <w:rFonts w:asciiTheme="majorBidi" w:hAnsiTheme="majorBidi" w:cstheme="majorBidi"/>
          <w:i/>
          <w:iCs/>
          <w:sz w:val="24"/>
          <w:szCs w:val="24"/>
        </w:rPr>
        <w:t>Thérophytes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>
        <w:t xml:space="preserve">  sont des plantes annuelles qui accomplissent tout leur cycle de développement pendant la belle saison et passe l’hivers uniquement sous forme de graine.</w:t>
      </w:r>
    </w:p>
    <w:p w:rsidR="00D65EB2" w:rsidRPr="00EC46FE" w:rsidRDefault="00D65EB2" w:rsidP="00D65EB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5AEE">
        <w:rPr>
          <w:b/>
          <w:bCs/>
        </w:rPr>
        <w:t>2)</w:t>
      </w:r>
      <w:r>
        <w:t xml:space="preserve">  </w:t>
      </w:r>
      <w:r w:rsidRPr="00A32032">
        <w:rPr>
          <w:rFonts w:asciiTheme="majorBidi" w:hAnsiTheme="majorBidi" w:cstheme="majorBidi"/>
          <w:b/>
          <w:bCs/>
          <w:sz w:val="24"/>
          <w:szCs w:val="24"/>
        </w:rPr>
        <w:t xml:space="preserve">L’évolution de la distribution de la flore ancienne à travers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l’ère </w:t>
      </w:r>
      <w:r w:rsidRPr="00EC46FE">
        <w:rPr>
          <w:rFonts w:asciiTheme="majorBidi" w:hAnsiTheme="majorBidi" w:cstheme="majorBidi"/>
          <w:b/>
          <w:bCs/>
          <w:sz w:val="24"/>
          <w:szCs w:val="24"/>
        </w:rPr>
        <w:t>primaire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(4 points)</w:t>
      </w:r>
      <w:r w:rsidRPr="00EC46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65EB2" w:rsidRPr="006C2F97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Flore de précambrien au silurien : </w:t>
      </w:r>
      <w:r w:rsidRPr="006C2F97">
        <w:rPr>
          <w:rFonts w:asciiTheme="majorBidi" w:hAnsiTheme="majorBidi" w:cstheme="majorBidi"/>
          <w:sz w:val="24"/>
          <w:szCs w:val="24"/>
        </w:rPr>
        <w:t>l’absence totale des fossiles continentales et la présence des fossiles des algues.</w:t>
      </w:r>
    </w:p>
    <w:p w:rsidR="00D65EB2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Flore du dévonien : </w:t>
      </w:r>
      <w:r w:rsidRPr="00EC46FE">
        <w:rPr>
          <w:rFonts w:asciiTheme="majorBidi" w:hAnsiTheme="majorBidi" w:cstheme="majorBidi"/>
          <w:sz w:val="24"/>
          <w:szCs w:val="24"/>
        </w:rPr>
        <w:t>l’époque d’apparition des premières plantes à tissus vasculaires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65EB2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 w:rsidRPr="00B1617B">
        <w:rPr>
          <w:rFonts w:asciiTheme="majorBidi" w:hAnsiTheme="majorBidi" w:cstheme="majorBidi"/>
          <w:b/>
          <w:bCs/>
          <w:sz w:val="24"/>
          <w:szCs w:val="24"/>
        </w:rPr>
        <w:t>Flore du carbonifère :</w:t>
      </w:r>
      <w:r>
        <w:rPr>
          <w:rFonts w:asciiTheme="majorBidi" w:hAnsiTheme="majorBidi" w:cstheme="majorBidi"/>
          <w:sz w:val="24"/>
          <w:szCs w:val="24"/>
        </w:rPr>
        <w:t xml:space="preserve"> flore uniforme et riche à la surface du globe avec la présence de l’Equisétale, Calamariées, </w:t>
      </w:r>
      <w:r w:rsidRPr="00EC46F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Sphénohyllées, Lycopodiales, fougères et les gymnospermes.</w:t>
      </w:r>
    </w:p>
    <w:p w:rsidR="00D65EB2" w:rsidRDefault="00D65EB2" w:rsidP="00D65EB2">
      <w:pPr>
        <w:jc w:val="both"/>
        <w:rPr>
          <w:rFonts w:asciiTheme="majorBidi" w:hAnsiTheme="majorBidi" w:cstheme="majorBidi"/>
          <w:sz w:val="24"/>
          <w:szCs w:val="24"/>
        </w:rPr>
      </w:pPr>
      <w:r w:rsidRPr="00CF0DC7">
        <w:rPr>
          <w:rFonts w:asciiTheme="majorBidi" w:hAnsiTheme="majorBidi" w:cstheme="majorBidi"/>
          <w:b/>
          <w:bCs/>
          <w:sz w:val="24"/>
          <w:szCs w:val="24"/>
        </w:rPr>
        <w:t xml:space="preserve">Flore du permien : </w:t>
      </w:r>
      <w:r>
        <w:rPr>
          <w:rFonts w:asciiTheme="majorBidi" w:hAnsiTheme="majorBidi" w:cstheme="majorBidi"/>
          <w:sz w:val="24"/>
          <w:szCs w:val="24"/>
        </w:rPr>
        <w:t>transformation du milieu physique terrestre cause le déclin des Sigillaires, Sphénohyllées, Ptéridospèrmes et Cordaitales.</w:t>
      </w:r>
    </w:p>
    <w:p w:rsidR="00D65EB2" w:rsidRDefault="00D65EB2" w:rsidP="00D65EB2">
      <w:pPr>
        <w:jc w:val="both"/>
        <w:rPr>
          <w:b/>
          <w:bCs/>
        </w:rPr>
      </w:pPr>
      <w:r w:rsidRPr="00FB5C3F">
        <w:rPr>
          <w:b/>
          <w:bCs/>
        </w:rPr>
        <w:t>3) Les différents groupes de végétation de la forêt méditerranéenne</w:t>
      </w:r>
      <w:r>
        <w:rPr>
          <w:b/>
          <w:bCs/>
        </w:rPr>
        <w:t xml:space="preserve"> (6 points)</w:t>
      </w:r>
    </w:p>
    <w:p w:rsidR="00D65EB2" w:rsidRDefault="00D65EB2" w:rsidP="00D65EB2">
      <w:pPr>
        <w:pStyle w:val="Paragraphedeliste"/>
        <w:numPr>
          <w:ilvl w:val="0"/>
          <w:numId w:val="1"/>
        </w:numPr>
        <w:jc w:val="both"/>
      </w:pPr>
      <w:r>
        <w:t>Brousse thermophile à Oleastre et Pistachier</w:t>
      </w:r>
    </w:p>
    <w:p w:rsidR="00D65EB2" w:rsidRDefault="00D65EB2" w:rsidP="00D65EB2">
      <w:pPr>
        <w:pStyle w:val="Paragraphedeliste"/>
        <w:numPr>
          <w:ilvl w:val="0"/>
          <w:numId w:val="1"/>
        </w:numPr>
        <w:jc w:val="both"/>
      </w:pPr>
      <w:r>
        <w:t>Forêts de conifères</w:t>
      </w:r>
    </w:p>
    <w:p w:rsidR="00D65EB2" w:rsidRDefault="00D65EB2" w:rsidP="00D65EB2">
      <w:pPr>
        <w:pStyle w:val="Paragraphedeliste"/>
        <w:numPr>
          <w:ilvl w:val="0"/>
          <w:numId w:val="1"/>
        </w:numPr>
        <w:jc w:val="both"/>
      </w:pPr>
      <w:r>
        <w:t>Forêts sclérophytes de chêne à feuilles persistantes</w:t>
      </w:r>
    </w:p>
    <w:p w:rsidR="00D65EB2" w:rsidRDefault="00D65EB2" w:rsidP="00D65EB2">
      <w:pPr>
        <w:pStyle w:val="Paragraphedeliste"/>
        <w:numPr>
          <w:ilvl w:val="0"/>
          <w:numId w:val="1"/>
        </w:numPr>
        <w:jc w:val="both"/>
      </w:pPr>
      <w:r>
        <w:t xml:space="preserve">Forêts caducifoliés de chêne </w:t>
      </w:r>
    </w:p>
    <w:p w:rsidR="00D65EB2" w:rsidRDefault="00D65EB2" w:rsidP="00D65EB2">
      <w:pPr>
        <w:pStyle w:val="Paragraphedeliste"/>
        <w:numPr>
          <w:ilvl w:val="0"/>
          <w:numId w:val="1"/>
        </w:numPr>
        <w:jc w:val="both"/>
      </w:pPr>
      <w:r>
        <w:t>Forêts de montagnes ou de hautes altitudes</w:t>
      </w:r>
    </w:p>
    <w:p w:rsidR="00D65EB2" w:rsidRDefault="00D65EB2" w:rsidP="00D65EB2">
      <w:pPr>
        <w:pStyle w:val="Paragraphedeliste"/>
        <w:numPr>
          <w:ilvl w:val="0"/>
          <w:numId w:val="1"/>
        </w:numPr>
        <w:jc w:val="both"/>
      </w:pPr>
      <w:r>
        <w:t>Peuplements arborés de l’étage oroméditerranéenne</w:t>
      </w:r>
    </w:p>
    <w:p w:rsidR="00D65EB2" w:rsidRPr="008B636C" w:rsidRDefault="00D65EB2" w:rsidP="00D65EB2">
      <w:pPr>
        <w:spacing w:after="200" w:line="360" w:lineRule="auto"/>
      </w:pPr>
      <w: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097CB7">
        <w:rPr>
          <w:rFonts w:asciiTheme="majorBidi" w:hAnsiTheme="majorBidi" w:cstheme="majorBidi"/>
          <w:b/>
          <w:bCs/>
          <w:sz w:val="24"/>
          <w:szCs w:val="24"/>
        </w:rPr>
        <w:t>) la</w:t>
      </w:r>
      <w:r w:rsidRPr="008D160B">
        <w:rPr>
          <w:rFonts w:asciiTheme="majorBidi" w:hAnsiTheme="majorBidi" w:cstheme="majorBidi"/>
          <w:b/>
          <w:bCs/>
          <w:sz w:val="24"/>
          <w:szCs w:val="24"/>
        </w:rPr>
        <w:t xml:space="preserve"> dénomination des espèces suivantes </w:t>
      </w:r>
      <w:r w:rsidRPr="0036347A">
        <w:rPr>
          <w:rFonts w:asciiTheme="majorBidi" w:hAnsiTheme="majorBidi" w:cstheme="majorBidi"/>
          <w:b/>
          <w:bCs/>
          <w:sz w:val="24"/>
          <w:szCs w:val="24"/>
        </w:rPr>
        <w:t>(5 points)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D160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D160B">
        <w:rPr>
          <w:rFonts w:asciiTheme="majorBidi" w:hAnsiTheme="majorBidi" w:cstheme="majorBidi"/>
          <w:sz w:val="24"/>
          <w:szCs w:val="24"/>
        </w:rPr>
        <w:t xml:space="preserve">  </w:t>
      </w:r>
    </w:p>
    <w:p w:rsidR="00D65EB2" w:rsidRPr="00BB4170" w:rsidRDefault="00D65EB2" w:rsidP="00D65EB2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Arbousier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BB4170">
        <w:rPr>
          <w:rFonts w:asciiTheme="majorBidi" w:hAnsiTheme="majorBidi" w:cstheme="majorBidi"/>
          <w:b/>
          <w:bCs/>
          <w:i/>
          <w:iCs/>
          <w:sz w:val="24"/>
          <w:szCs w:val="24"/>
        </w:rPr>
        <w:t>Arbutus unedo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– Cèdre de l’Atlas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Cedrus atlantica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– Houx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BB4170">
        <w:rPr>
          <w:rFonts w:asciiTheme="majorBidi" w:hAnsiTheme="majorBidi" w:cstheme="majorBidi"/>
          <w:b/>
          <w:bCs/>
          <w:i/>
          <w:iCs/>
          <w:sz w:val="24"/>
          <w:szCs w:val="24"/>
        </w:rPr>
        <w:t>Ilex aquifolium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– Chêne zeen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Quersus faginea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– Petit houx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BB4170">
        <w:rPr>
          <w:rFonts w:asciiTheme="majorBidi" w:hAnsiTheme="majorBidi" w:cstheme="majorBidi"/>
          <w:b/>
          <w:bCs/>
          <w:i/>
          <w:iCs/>
          <w:sz w:val="24"/>
          <w:szCs w:val="24"/>
        </w:rPr>
        <w:t>Ruscus aculeatus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– If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BB4170">
        <w:rPr>
          <w:rFonts w:asciiTheme="majorBidi" w:hAnsiTheme="majorBidi" w:cstheme="majorBidi"/>
          <w:b/>
          <w:bCs/>
          <w:i/>
          <w:iCs/>
          <w:sz w:val="24"/>
          <w:szCs w:val="24"/>
        </w:rPr>
        <w:t>Taxus baccata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– Sapin de numidie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BB4170">
        <w:rPr>
          <w:rFonts w:asciiTheme="majorBidi" w:hAnsiTheme="majorBidi" w:cstheme="majorBidi"/>
          <w:b/>
          <w:bCs/>
          <w:i/>
          <w:iCs/>
          <w:sz w:val="24"/>
          <w:szCs w:val="24"/>
        </w:rPr>
        <w:t>Abies numidica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– Chêne liége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Quercus suber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– l’olivier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Olea europea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– Pistachier d’Atlas </w:t>
      </w:r>
      <w:r w:rsidRPr="00BB4170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Pistacia atlantica</w:t>
      </w:r>
      <w:r w:rsidRPr="0036347A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634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65EB2" w:rsidRPr="005B7979" w:rsidRDefault="00D65EB2" w:rsidP="00D65EB2">
      <w:pPr>
        <w:ind w:left="360"/>
        <w:jc w:val="both"/>
      </w:pPr>
    </w:p>
    <w:p w:rsidR="00D16F05" w:rsidRDefault="00D65EB2">
      <w:bookmarkStart w:id="0" w:name="_GoBack"/>
      <w:bookmarkEnd w:id="0"/>
    </w:p>
    <w:sectPr w:rsidR="00D16F05" w:rsidSect="009B0A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DBA"/>
    <w:multiLevelType w:val="hybridMultilevel"/>
    <w:tmpl w:val="4D46E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B2"/>
    <w:rsid w:val="007D793B"/>
    <w:rsid w:val="008C0ACE"/>
    <w:rsid w:val="00D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50EC-87AD-4A55-AC6B-5FBDA1A9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Company>SACC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2024-05-24T09:27:00Z</dcterms:created>
  <dcterms:modified xsi:type="dcterms:W3CDTF">2024-05-24T09:28:00Z</dcterms:modified>
</cp:coreProperties>
</file>